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E0F" w:rsidRDefault="000976F8">
      <w:pPr>
        <w:jc w:val="center"/>
        <w:rPr>
          <w:b/>
        </w:rPr>
      </w:pPr>
      <w:r>
        <w:rPr>
          <w:b/>
        </w:rPr>
        <w:t>PATTO PER LO SVILUPPO PROFESSIONALE</w:t>
      </w:r>
    </w:p>
    <w:p w:rsidR="00EC4E0F" w:rsidRDefault="000976F8">
      <w:pPr>
        <w:jc w:val="center"/>
        <w:rPr>
          <w:b/>
        </w:rPr>
      </w:pPr>
      <w:r>
        <w:rPr>
          <w:b/>
        </w:rPr>
        <w:t>Tra</w:t>
      </w:r>
    </w:p>
    <w:p w:rsidR="00EC4E0F" w:rsidRDefault="000976F8">
      <w:pPr>
        <w:jc w:val="both"/>
      </w:pPr>
      <w:r>
        <w:rPr>
          <w:b/>
        </w:rPr>
        <w:t xml:space="preserve">Il </w:t>
      </w:r>
      <w:r>
        <w:rPr>
          <w:b/>
        </w:rPr>
        <w:t>docente</w:t>
      </w:r>
      <w:r w:rsidR="00A625EF">
        <w:rPr>
          <w:b/>
        </w:rPr>
        <w:t xml:space="preserve"> </w:t>
      </w:r>
      <w:r>
        <w:t>(nome e cognome)</w:t>
      </w:r>
      <w:r w:rsidR="00A625EF">
        <w:t xml:space="preserve"> ____________________________________________</w:t>
      </w:r>
    </w:p>
    <w:p w:rsidR="00EC4E0F" w:rsidRDefault="000976F8">
      <w:pPr>
        <w:jc w:val="both"/>
      </w:pPr>
      <w:r>
        <w:rPr>
          <w:b/>
        </w:rPr>
        <w:t>La Dirigente Scolastica</w:t>
      </w:r>
      <w:r w:rsidR="00A625EF">
        <w:rPr>
          <w:b/>
        </w:rPr>
        <w:t xml:space="preserve"> </w:t>
      </w:r>
      <w:r>
        <w:t>Annali</w:t>
      </w:r>
      <w:r w:rsidR="00A625EF">
        <w:t>s</w:t>
      </w:r>
      <w:r>
        <w:t>a Ruggeri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A625EF">
        <w:rPr>
          <w:rFonts w:eastAsia="Century" w:cstheme="minorHAnsi"/>
          <w:b/>
          <w:bCs/>
        </w:rPr>
        <w:t xml:space="preserve">Vista </w:t>
      </w:r>
      <w:r w:rsidRPr="00A625EF">
        <w:rPr>
          <w:rFonts w:eastAsia="Century" w:cstheme="minorHAnsi"/>
        </w:rPr>
        <w:t>la Legge 13 luglio 2015 n 107;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 w:line="240" w:lineRule="auto"/>
      </w:pPr>
      <w:r w:rsidRPr="00A625EF">
        <w:rPr>
          <w:rFonts w:eastAsia="Century" w:cstheme="minorHAnsi"/>
          <w:b/>
          <w:bCs/>
        </w:rPr>
        <w:t>Visto</w:t>
      </w:r>
      <w:r w:rsidRPr="00A625EF">
        <w:rPr>
          <w:rFonts w:eastAsia="Century" w:cstheme="minorHAnsi"/>
        </w:rPr>
        <w:t xml:space="preserve"> il D.M. 850/2015;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A625EF">
        <w:rPr>
          <w:rFonts w:eastAsia="Century" w:cstheme="minorHAnsi"/>
          <w:b/>
          <w:bCs/>
        </w:rPr>
        <w:t xml:space="preserve">Visto </w:t>
      </w:r>
      <w:r w:rsidRPr="00A625EF">
        <w:rPr>
          <w:rFonts w:eastAsia="Century" w:cstheme="minorHAnsi"/>
        </w:rPr>
        <w:t>il D. M. 14 dicembre 2017 n 984;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/>
        <w:jc w:val="both"/>
      </w:pPr>
      <w:r w:rsidRPr="00A625EF">
        <w:rPr>
          <w:b/>
          <w:bCs/>
        </w:rPr>
        <w:t xml:space="preserve">Visto </w:t>
      </w:r>
      <w:r>
        <w:t>il D. M. 16 agosto 2022, n. 226;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/>
        <w:jc w:val="both"/>
      </w:pPr>
      <w:r w:rsidRPr="00A625EF">
        <w:rPr>
          <w:b/>
          <w:bCs/>
        </w:rPr>
        <w:t>Vista</w:t>
      </w:r>
      <w:r>
        <w:t xml:space="preserve"> la nota 25/08/2022, n. 30998, Disposizioni concernenti il percorso di f</w:t>
      </w:r>
      <w:r>
        <w:t xml:space="preserve">ormazione e di prova del personale docente ed educativo. Emanazione del D.M. 226 del 16 </w:t>
      </w:r>
      <w:proofErr w:type="gramStart"/>
      <w:r>
        <w:t>Agosto</w:t>
      </w:r>
      <w:proofErr w:type="gramEnd"/>
      <w:r>
        <w:t xml:space="preserve"> 2022; 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/>
        <w:jc w:val="both"/>
      </w:pPr>
      <w:r w:rsidRPr="00A625EF">
        <w:rPr>
          <w:b/>
          <w:bCs/>
        </w:rPr>
        <w:t xml:space="preserve">Vista </w:t>
      </w:r>
      <w:r>
        <w:t>la nota n. 65471 del 7/11/2023 con la quale il MIM ha fornito indicazioni operative riguardo il percorso di formazione e prova per i docenti neo ass</w:t>
      </w:r>
      <w:r>
        <w:t xml:space="preserve">unti per l’anno scolastico 2023/24, con riferimento all'organizzazione delle attività di formazione; 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/>
        <w:jc w:val="both"/>
      </w:pPr>
      <w:r w:rsidRPr="00A625EF">
        <w:rPr>
          <w:b/>
          <w:bCs/>
        </w:rPr>
        <w:t>Vista</w:t>
      </w:r>
      <w:r>
        <w:t xml:space="preserve"> la nota MIM </w:t>
      </w:r>
      <w:proofErr w:type="spellStart"/>
      <w:r>
        <w:t>prot</w:t>
      </w:r>
      <w:proofErr w:type="spellEnd"/>
      <w:r>
        <w:t>. n. 47428 del 13 novembre 2023 di assegnazione delle risorse alle scuole polo regionali</w:t>
      </w:r>
      <w:bookmarkStart w:id="0" w:name="_GoBack"/>
      <w:bookmarkEnd w:id="0"/>
    </w:p>
    <w:p w:rsidR="00EC4E0F" w:rsidRDefault="00EC4E0F">
      <w:pPr>
        <w:spacing w:after="0" w:line="240" w:lineRule="auto"/>
        <w:jc w:val="both"/>
      </w:pPr>
    </w:p>
    <w:p w:rsidR="00EC4E0F" w:rsidRDefault="000976F8" w:rsidP="00A625EF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Visto il bilancio iniziale delle competenz</w:t>
      </w:r>
      <w:r>
        <w:t>e elaborato dal docente…………………</w:t>
      </w:r>
      <w:proofErr w:type="gramStart"/>
      <w:r>
        <w:t>…….</w:t>
      </w:r>
      <w:proofErr w:type="gramEnd"/>
      <w:r>
        <w:t xml:space="preserve">. </w:t>
      </w:r>
    </w:p>
    <w:p w:rsidR="00EC4E0F" w:rsidRDefault="000976F8" w:rsidP="00A625EF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Sentito il docente tutor ____________________________</w:t>
      </w:r>
    </w:p>
    <w:p w:rsidR="00EC4E0F" w:rsidRDefault="00EC4E0F">
      <w:pPr>
        <w:spacing w:after="0" w:line="240" w:lineRule="auto"/>
        <w:jc w:val="both"/>
      </w:pPr>
    </w:p>
    <w:p w:rsidR="00EC4E0F" w:rsidRDefault="00A625EF">
      <w:pPr>
        <w:spacing w:after="0" w:line="240" w:lineRule="auto"/>
        <w:jc w:val="center"/>
      </w:pPr>
      <w:bookmarkStart w:id="1" w:name="_gjdgxs"/>
      <w:bookmarkEnd w:id="1"/>
      <w:r>
        <w:t xml:space="preserve">tra il docente </w:t>
      </w:r>
      <w:proofErr w:type="spellStart"/>
      <w:r>
        <w:t>neoimmesso</w:t>
      </w:r>
      <w:proofErr w:type="spellEnd"/>
      <w:r>
        <w:t xml:space="preserve"> e l</w:t>
      </w:r>
      <w:r w:rsidR="000976F8">
        <w:t>a Dirigente Scolastica</w:t>
      </w:r>
    </w:p>
    <w:p w:rsidR="00EC4E0F" w:rsidRDefault="00EC4E0F">
      <w:pPr>
        <w:spacing w:after="0" w:line="240" w:lineRule="auto"/>
        <w:jc w:val="center"/>
      </w:pPr>
    </w:p>
    <w:p w:rsidR="00EC4E0F" w:rsidRDefault="000976F8">
      <w:pP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:rsidR="00EC4E0F" w:rsidRDefault="00EC4E0F">
      <w:pPr>
        <w:jc w:val="both"/>
      </w:pPr>
    </w:p>
    <w:p w:rsidR="00EC4E0F" w:rsidRDefault="000976F8">
      <w:pP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2023-2024, </w:t>
      </w:r>
      <w:r>
        <w:t xml:space="preserve">si impegna a potenziare </w:t>
      </w:r>
      <w:r>
        <w:t xml:space="preserve">le seguenti competenze con riferimento ai seguenti ambiti, propri della professione docente: </w:t>
      </w:r>
    </w:p>
    <w:tbl>
      <w:tblPr>
        <w:tblStyle w:val="TableNormal"/>
        <w:tblW w:w="985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400" w:firstRow="0" w:lastRow="0" w:firstColumn="0" w:lastColumn="0" w:noHBand="0" w:noVBand="1"/>
      </w:tblPr>
      <w:tblGrid>
        <w:gridCol w:w="2797"/>
        <w:gridCol w:w="7058"/>
      </w:tblGrid>
      <w:tr w:rsidR="00EC4E0F" w:rsidTr="000B083F">
        <w:trPr>
          <w:jc w:val="center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4E0F" w:rsidRDefault="000976F8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A - DIDATTICA </w:t>
            </w:r>
          </w:p>
          <w:p w:rsidR="00EC4E0F" w:rsidRDefault="000976F8">
            <w:pPr>
              <w:ind w:right="113"/>
              <w:jc w:val="center"/>
            </w:pPr>
            <w:r>
              <w:rPr>
                <w:b/>
                <w:sz w:val="20"/>
                <w:szCs w:val="20"/>
              </w:rPr>
              <w:t>(Area delle competenze didattiche, metodologiche e relazionali)</w:t>
            </w:r>
          </w:p>
        </w:tc>
        <w:tc>
          <w:tcPr>
            <w:tcW w:w="7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4E0F" w:rsidRDefault="000976F8">
            <w:pPr>
              <w:numPr>
                <w:ilvl w:val="0"/>
                <w:numId w:val="3"/>
              </w:numPr>
              <w:ind w:left="268" w:hanging="268"/>
              <w:jc w:val="both"/>
            </w:pPr>
            <w:r>
              <w:t>□ conosce</w:t>
            </w:r>
            <w:r>
              <w:t>re gli elementi epistemologici della disciplina e strutturare le conoscenze intorno ai principi fondanti della disciplina</w:t>
            </w:r>
          </w:p>
          <w:p w:rsidR="00EC4E0F" w:rsidRDefault="000976F8">
            <w:pPr>
              <w:numPr>
                <w:ilvl w:val="0"/>
                <w:numId w:val="3"/>
              </w:numPr>
              <w:ind w:left="268" w:hanging="268"/>
              <w:jc w:val="both"/>
            </w:pPr>
            <w:r>
              <w:t>□ essere capace di sviluppare collegamenti interdisciplinari</w:t>
            </w:r>
          </w:p>
          <w:p w:rsidR="00EC4E0F" w:rsidRDefault="000976F8">
            <w:pPr>
              <w:numPr>
                <w:ilvl w:val="0"/>
                <w:numId w:val="3"/>
              </w:numPr>
              <w:ind w:left="268" w:hanging="268"/>
              <w:jc w:val="both"/>
            </w:pPr>
            <w:r>
              <w:t>□ migliorare le proprie competenze disciplinari e di mediazione/insegname</w:t>
            </w:r>
            <w:r>
              <w:t>nto della propria disciplina</w:t>
            </w:r>
          </w:p>
          <w:p w:rsidR="00EC4E0F" w:rsidRDefault="000976F8">
            <w:pPr>
              <w:numPr>
                <w:ilvl w:val="0"/>
                <w:numId w:val="3"/>
              </w:numPr>
              <w:ind w:left="268" w:hanging="268"/>
              <w:jc w:val="both"/>
            </w:pPr>
            <w:r>
              <w:t xml:space="preserve">□ inserire la propria progettualità nel curricolo disciplinare d’istituto e fare </w:t>
            </w:r>
            <w:r>
              <w:lastRenderedPageBreak/>
              <w:t>proprie le unità di apprendimento concordate con i colleghi dei dipartimenti</w:t>
            </w:r>
          </w:p>
          <w:p w:rsidR="00EC4E0F" w:rsidRDefault="000976F8">
            <w:pPr>
              <w:numPr>
                <w:ilvl w:val="0"/>
                <w:numId w:val="3"/>
              </w:numPr>
              <w:ind w:left="268" w:hanging="268"/>
              <w:jc w:val="both"/>
            </w:pPr>
            <w:r>
              <w:t>□ acquisire competenze sull’uso degli strumenti digitali per la didat</w:t>
            </w:r>
            <w:r>
              <w:t xml:space="preserve">tica </w:t>
            </w:r>
          </w:p>
          <w:p w:rsidR="00EC4E0F" w:rsidRDefault="000976F8">
            <w:pPr>
              <w:numPr>
                <w:ilvl w:val="0"/>
                <w:numId w:val="3"/>
              </w:numPr>
              <w:ind w:left="268" w:hanging="268"/>
              <w:jc w:val="both"/>
            </w:pPr>
            <w:r>
              <w:t xml:space="preserve">□ favorire l’inclusione e il soddisfacimento dei bisogni degli studenti tramite tecnologie digitali 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 xml:space="preserve"> □ rispettare i ritmi e le caratteristiche di apprendimento degli alunni riconoscendone le differenze individuali 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 xml:space="preserve"> □ presentare i contenuti tenendo </w:t>
            </w:r>
            <w:r>
              <w:t xml:space="preserve">in considerazione </w:t>
            </w:r>
            <w:r>
              <w:t>le preconoscenze degli allievi e utilizzando strategie di mediazione degli stessi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>□ rendere trasparenti gli obiettivi e fissare criteri espliciti di successo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>□ sviluppare strategie metodologiche differenziate ed inclusive valorizzando le</w:t>
            </w:r>
            <w:r>
              <w:t xml:space="preserve"> differenze (sociali, etniche, di genere, di abilità…) 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 xml:space="preserve">□ utilizzare strumenti di osservazione e valutazione dell’efficacia dei percorsi didattici usando strategie metacognitive che identificano, controllano e regolano i processi cognitivi 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 xml:space="preserve">□ praticare </w:t>
            </w:r>
            <w:r>
              <w:t>tecniche di ascolto attivo nella mediazione didattica ed educativa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 xml:space="preserve">□ usare, a seconda delle finalità e dei contesti, strategie e strumenti diversi di valutazione </w:t>
            </w:r>
          </w:p>
          <w:p w:rsidR="00EC4E0F" w:rsidRDefault="000976F8">
            <w:pPr>
              <w:numPr>
                <w:ilvl w:val="0"/>
                <w:numId w:val="3"/>
              </w:numPr>
              <w:jc w:val="both"/>
            </w:pPr>
            <w:r>
              <w:t>□ usare strumenti differenziati per osservare e gestire le dinamiche relazionali e i conflitt</w:t>
            </w:r>
            <w:r>
              <w:t>i</w:t>
            </w:r>
          </w:p>
          <w:p w:rsidR="00EC4E0F" w:rsidRDefault="00EC4E0F">
            <w:pPr>
              <w:ind w:left="268" w:hanging="268"/>
              <w:jc w:val="both"/>
            </w:pPr>
          </w:p>
        </w:tc>
      </w:tr>
      <w:tr w:rsidR="00EC4E0F" w:rsidTr="000B083F">
        <w:trPr>
          <w:trHeight w:val="2929"/>
          <w:jc w:val="center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4E0F" w:rsidRDefault="000976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 - ISTITUZIONE-COMUNITÀ </w:t>
            </w:r>
          </w:p>
          <w:p w:rsidR="00EC4E0F" w:rsidRDefault="000976F8">
            <w:pPr>
              <w:rPr>
                <w:b/>
              </w:rPr>
            </w:pPr>
            <w:r>
              <w:rPr>
                <w:b/>
              </w:rPr>
              <w:t>(Area delle competenze relative alla partecipazione alla vita della scuola e del contesto sociale )</w:t>
            </w:r>
          </w:p>
        </w:tc>
        <w:tc>
          <w:tcPr>
            <w:tcW w:w="7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4E0F" w:rsidRDefault="000976F8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 xml:space="preserve">contribuire agli aspetti organizzativi ed alle attività di non insegnamento che costituiscono parte integrante del </w:t>
            </w:r>
            <w:r>
              <w:t>piano dell’offerta formativa</w:t>
            </w:r>
          </w:p>
          <w:p w:rsidR="00EC4E0F" w:rsidRDefault="000976F8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:rsidR="00EC4E0F" w:rsidRDefault="000976F8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:rsidR="00EC4E0F" w:rsidRDefault="000976F8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ottemperare, dare riscontro e seguito alle decisioni collegiali in man</w:t>
            </w:r>
            <w:r>
              <w:t>iera collaborativa</w:t>
            </w:r>
          </w:p>
          <w:p w:rsidR="00EC4E0F" w:rsidRDefault="000976F8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collaborare e condividere con i colleghi il progetto formativo e la</w:t>
            </w:r>
            <w:r>
              <w:t xml:space="preserve"> pianificazione dell’intervento didattico ed educativo</w:t>
            </w:r>
          </w:p>
          <w:p w:rsidR="00EC4E0F" w:rsidRDefault="000976F8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partecipare alla produzione del materiale didattico progettato e concordato nelle riunioni di dipartimento, di dis</w:t>
            </w:r>
            <w:r>
              <w:t>ciplina e di area</w:t>
            </w:r>
          </w:p>
        </w:tc>
      </w:tr>
      <w:tr w:rsidR="00EC4E0F" w:rsidTr="000B083F">
        <w:trPr>
          <w:trHeight w:val="2929"/>
          <w:jc w:val="center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4E0F" w:rsidRDefault="000976F8">
            <w:pPr>
              <w:rPr>
                <w:b/>
              </w:rPr>
            </w:pPr>
            <w:r>
              <w:rPr>
                <w:b/>
              </w:rPr>
              <w:t xml:space="preserve">C - PROFESSIONE </w:t>
            </w:r>
          </w:p>
          <w:p w:rsidR="00EC4E0F" w:rsidRDefault="000976F8">
            <w:pPr>
              <w:rPr>
                <w:b/>
              </w:rPr>
            </w:pPr>
            <w:r>
              <w:rPr>
                <w:b/>
              </w:rPr>
              <w:t>(Area della formazione continua, della cura della professionalità e dello sviluppo di nuove responsabilità )</w:t>
            </w:r>
          </w:p>
        </w:tc>
        <w:tc>
          <w:tcPr>
            <w:tcW w:w="7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C4E0F" w:rsidRDefault="000976F8">
            <w:pPr>
              <w:jc w:val="both"/>
            </w:pPr>
            <w:r>
              <w:t>□ sviluppare competenze professionali tese a costruire/potenziare le competenze orientative dei soggetti in app</w:t>
            </w:r>
            <w:r>
              <w:t xml:space="preserve">rendimento e la loro capacità di autodeterminazione (orientarsi) </w:t>
            </w:r>
          </w:p>
          <w:p w:rsidR="00EC4E0F" w:rsidRDefault="000976F8">
            <w:pPr>
              <w:jc w:val="both"/>
            </w:pPr>
            <w:r>
              <w:t>□ fare ricerca-azione in un confronto continuo tra la propria esperienza didattica, i contributi dei colleghi della scuola e della letteratura specialistica □ utilizzare la documentazione ge</w:t>
            </w:r>
            <w:r>
              <w:t xml:space="preserve">nerativa multimediale per documentare processi e prodotti </w:t>
            </w:r>
          </w:p>
          <w:p w:rsidR="00EC4E0F" w:rsidRDefault="000976F8">
            <w:pPr>
              <w:jc w:val="both"/>
            </w:pPr>
            <w:r>
              <w:t xml:space="preserve">□ </w:t>
            </w:r>
            <w:r>
              <w:t xml:space="preserve">valorizzare la pratica della scrittura autoriflessiva sull’esperienza professionale (diari di bordo, stesura di relazioni e documenti di sintesi …) come principale forma di documentazione della ricerca </w:t>
            </w:r>
          </w:p>
          <w:p w:rsidR="00EC4E0F" w:rsidRDefault="000976F8">
            <w:pPr>
              <w:jc w:val="both"/>
            </w:pPr>
            <w:r>
              <w:t>□ aggiornarsi sugli sviluppi culturali e metodologici</w:t>
            </w:r>
            <w:r>
              <w:t xml:space="preserve"> della propria disciplina e della relativa didattica </w:t>
            </w:r>
          </w:p>
          <w:p w:rsidR="00EC4E0F" w:rsidRDefault="00EC4E0F">
            <w:pPr>
              <w:ind w:left="268"/>
              <w:jc w:val="both"/>
            </w:pPr>
          </w:p>
        </w:tc>
      </w:tr>
    </w:tbl>
    <w:p w:rsidR="00EC4E0F" w:rsidRDefault="00EC4E0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</w:pPr>
    </w:p>
    <w:p w:rsidR="00EC4E0F" w:rsidRDefault="000976F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:rsidR="00EC4E0F" w:rsidRDefault="000976F8">
      <w:pPr>
        <w:numPr>
          <w:ilvl w:val="0"/>
          <w:numId w:val="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</w:pPr>
      <w:r>
        <w:t xml:space="preserve">la proficua partecipazione alle attività formative proposte </w:t>
      </w:r>
      <w:r>
        <w:t xml:space="preserve">dall'Ufficio di Ambito Territoriale destinate </w:t>
      </w:r>
      <w:r>
        <w:lastRenderedPageBreak/>
        <w:t>ai docenti in periodo di formazione e prova;</w:t>
      </w:r>
    </w:p>
    <w:p w:rsidR="00EC4E0F" w:rsidRDefault="000976F8">
      <w:pPr>
        <w:numPr>
          <w:ilvl w:val="0"/>
          <w:numId w:val="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partecipa.</w:t>
      </w:r>
    </w:p>
    <w:p w:rsidR="00EC4E0F" w:rsidRDefault="00EC4E0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ind w:left="720"/>
        <w:jc w:val="both"/>
      </w:pPr>
    </w:p>
    <w:p w:rsidR="00EC4E0F" w:rsidRDefault="000976F8">
      <w:pPr>
        <w:spacing w:after="0" w:line="240" w:lineRule="auto"/>
        <w:jc w:val="both"/>
      </w:pPr>
      <w:r>
        <w:t>c) La Dirigente Scolastic</w:t>
      </w:r>
      <w:r>
        <w:t>a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EC4E0F" w:rsidRDefault="00EC4E0F">
      <w:pPr>
        <w:spacing w:after="0" w:line="240" w:lineRule="auto"/>
        <w:jc w:val="both"/>
      </w:pPr>
    </w:p>
    <w:p w:rsidR="00EC4E0F" w:rsidRDefault="000976F8">
      <w:pPr>
        <w:spacing w:after="0" w:line="240" w:lineRule="auto"/>
        <w:jc w:val="both"/>
      </w:pPr>
      <w:r>
        <w:t>d) In particolare la Di</w:t>
      </w:r>
      <w:r>
        <w:t>rigente Scolastica si impegna a fornire al docente in formazione e prova il Piano dell'Offerta Formativa e la documentazione relativa alle classi e ai corsi di insegnamento che lo coinvolgono.</w:t>
      </w:r>
    </w:p>
    <w:p w:rsidR="00EC4E0F" w:rsidRDefault="00EC4E0F">
      <w:pPr>
        <w:spacing w:after="0" w:line="240" w:lineRule="auto"/>
        <w:jc w:val="both"/>
      </w:pPr>
    </w:p>
    <w:p w:rsidR="00EC4E0F" w:rsidRDefault="000976F8">
      <w:pPr>
        <w:spacing w:after="0" w:line="240" w:lineRule="auto"/>
        <w:jc w:val="both"/>
      </w:pPr>
      <w:r>
        <w:t xml:space="preserve">e) La Dirigente Scolastica assegna al docente in formazione e </w:t>
      </w:r>
      <w:r>
        <w:t xml:space="preserve">prova un collega esperto con funzioni di tutor, avente compiti di accompagnamento, consulenza e supervisione professionale. </w:t>
      </w:r>
    </w:p>
    <w:p w:rsidR="00EC4E0F" w:rsidRDefault="00EC4E0F">
      <w:pPr>
        <w:spacing w:after="0" w:line="240" w:lineRule="auto"/>
        <w:jc w:val="both"/>
      </w:pPr>
    </w:p>
    <w:tbl>
      <w:tblPr>
        <w:tblStyle w:val="TableNormal"/>
        <w:tblW w:w="977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EC4E0F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C4E0F" w:rsidRDefault="000976F8">
            <w:pPr>
              <w:spacing w:after="0" w:line="240" w:lineRule="auto"/>
              <w:jc w:val="center"/>
            </w:pPr>
            <w:r>
              <w:t>IL DOCENTE</w:t>
            </w:r>
          </w:p>
          <w:p w:rsidR="00EC4E0F" w:rsidRDefault="00EC4E0F">
            <w:pPr>
              <w:spacing w:after="0" w:line="240" w:lineRule="auto"/>
              <w:jc w:val="center"/>
            </w:pPr>
          </w:p>
          <w:p w:rsidR="00EC4E0F" w:rsidRDefault="00EC4E0F">
            <w:pPr>
              <w:spacing w:after="0" w:line="240" w:lineRule="auto"/>
              <w:jc w:val="center"/>
            </w:pPr>
          </w:p>
          <w:p w:rsidR="00EC4E0F" w:rsidRDefault="00EC4E0F">
            <w:pPr>
              <w:spacing w:after="0" w:line="240" w:lineRule="auto"/>
              <w:jc w:val="center"/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C4E0F" w:rsidRDefault="000976F8">
            <w:pPr>
              <w:spacing w:after="0" w:line="240" w:lineRule="auto"/>
              <w:jc w:val="center"/>
            </w:pPr>
            <w:r>
              <w:t>La DIRIGENTE SCOLASTICA</w:t>
            </w:r>
          </w:p>
          <w:p w:rsidR="00EC4E0F" w:rsidRDefault="00EC4E0F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EC4E0F" w:rsidRDefault="00EC4E0F">
      <w:pPr>
        <w:spacing w:after="0" w:line="240" w:lineRule="auto"/>
        <w:rPr>
          <w:color w:val="000000"/>
        </w:rPr>
      </w:pPr>
    </w:p>
    <w:p w:rsidR="00EC4E0F" w:rsidRPr="00A625EF" w:rsidRDefault="00EC4E0F">
      <w:pPr>
        <w:spacing w:after="0" w:line="240" w:lineRule="auto"/>
        <w:rPr>
          <w:color w:val="000000"/>
        </w:rPr>
      </w:pPr>
    </w:p>
    <w:p w:rsidR="00EC4E0F" w:rsidRDefault="000976F8">
      <w:pPr>
        <w:spacing w:after="0" w:line="240" w:lineRule="auto"/>
      </w:pPr>
      <w:r>
        <w:rPr>
          <w:i/>
          <w:color w:val="000000"/>
        </w:rPr>
        <w:t>Barletta, data……………………………….</w:t>
      </w:r>
    </w:p>
    <w:sectPr w:rsidR="00EC4E0F" w:rsidSect="000B083F">
      <w:headerReference w:type="default" r:id="rId8"/>
      <w:footerReference w:type="default" r:id="rId9"/>
      <w:pgSz w:w="11906" w:h="16838"/>
      <w:pgMar w:top="3969" w:right="1134" w:bottom="1701" w:left="1134" w:header="567" w:footer="381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F8" w:rsidRDefault="000976F8" w:rsidP="000B083F">
      <w:pPr>
        <w:spacing w:after="0" w:line="240" w:lineRule="auto"/>
      </w:pPr>
      <w:r>
        <w:separator/>
      </w:r>
    </w:p>
  </w:endnote>
  <w:endnote w:type="continuationSeparator" w:id="0">
    <w:p w:rsidR="000976F8" w:rsidRDefault="000976F8" w:rsidP="000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3F" w:rsidRDefault="000B083F">
    <w:pPr>
      <w:pStyle w:val="Pidipagina"/>
    </w:pPr>
    <w:r>
      <w:rPr>
        <w:i/>
        <w:noProof/>
        <w:color w:val="000000"/>
        <w:lang w:eastAsia="it-IT" w:bidi="ar-SA"/>
      </w:rPr>
      <w:drawing>
        <wp:inline distT="0" distB="0" distL="0" distR="0" wp14:anchorId="68E28EC3" wp14:editId="568BB963">
          <wp:extent cx="6120130" cy="731520"/>
          <wp:effectExtent l="0" t="0" r="0" b="0"/>
          <wp:docPr id="5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F8" w:rsidRDefault="000976F8" w:rsidP="000B083F">
      <w:pPr>
        <w:spacing w:after="0" w:line="240" w:lineRule="auto"/>
      </w:pPr>
      <w:r>
        <w:separator/>
      </w:r>
    </w:p>
  </w:footnote>
  <w:footnote w:type="continuationSeparator" w:id="0">
    <w:p w:rsidR="000976F8" w:rsidRDefault="000976F8" w:rsidP="000B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3F" w:rsidRDefault="000B083F">
    <w:pPr>
      <w:pStyle w:val="Intestazione"/>
    </w:pPr>
    <w:r>
      <w:rPr>
        <w:noProof/>
        <w:lang w:eastAsia="it-IT" w:bidi="ar-SA"/>
      </w:rPr>
      <w:drawing>
        <wp:inline distT="0" distB="0" distL="0" distR="0" wp14:anchorId="5A8E2355" wp14:editId="19EE4BED">
          <wp:extent cx="5806440" cy="1998980"/>
          <wp:effectExtent l="0" t="0" r="0" b="0"/>
          <wp:docPr id="5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6440" cy="199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5B4"/>
    <w:multiLevelType w:val="multilevel"/>
    <w:tmpl w:val="C3507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D652A1"/>
    <w:multiLevelType w:val="hybridMultilevel"/>
    <w:tmpl w:val="797E4E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02C4"/>
    <w:multiLevelType w:val="multilevel"/>
    <w:tmpl w:val="ADFAD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952473"/>
    <w:multiLevelType w:val="multilevel"/>
    <w:tmpl w:val="F6CC770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74232BBB"/>
    <w:multiLevelType w:val="multilevel"/>
    <w:tmpl w:val="A814843E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0F"/>
    <w:rsid w:val="000976F8"/>
    <w:rsid w:val="000B083F"/>
    <w:rsid w:val="007A64AB"/>
    <w:rsid w:val="00927C11"/>
    <w:rsid w:val="00A625EF"/>
    <w:rsid w:val="00E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B76E"/>
  <w15:docId w15:val="{79C37115-DB1D-44B3-A1CE-8DB3D2B6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200" w:line="276" w:lineRule="auto"/>
    </w:pPr>
    <w:rPr>
      <w:color w:val="00000A"/>
      <w:sz w:val="22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Arial" w:hAnsi="Calibri" w:cs="Arial"/>
      <w:b w:val="0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eastAsia="Arial" w:hAnsi="Calibri" w:cs="Arial"/>
      <w:b w:val="0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cs="Arial"/>
      <w:b w:val="0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OpenSymbol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Arial"/>
      <w:b w:val="0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cs="Arial"/>
      <w:b w:val="0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OpenSymbol"/>
      <w:u w:val="none"/>
    </w:rPr>
  </w:style>
  <w:style w:type="character" w:customStyle="1" w:styleId="ListLabel65">
    <w:name w:val="ListLabel 65"/>
    <w:qFormat/>
    <w:rPr>
      <w:rFonts w:cs="OpenSymbol"/>
      <w:u w:val="none"/>
    </w:rPr>
  </w:style>
  <w:style w:type="character" w:customStyle="1" w:styleId="ListLabel66">
    <w:name w:val="ListLabel 66"/>
    <w:qFormat/>
    <w:rPr>
      <w:rFonts w:cs="OpenSymbol"/>
      <w:u w:val="none"/>
    </w:rPr>
  </w:style>
  <w:style w:type="character" w:customStyle="1" w:styleId="ListLabel67">
    <w:name w:val="ListLabel 67"/>
    <w:qFormat/>
    <w:rPr>
      <w:rFonts w:cs="OpenSymbol"/>
      <w:u w:val="none"/>
    </w:rPr>
  </w:style>
  <w:style w:type="character" w:customStyle="1" w:styleId="ListLabel68">
    <w:name w:val="ListLabel 68"/>
    <w:qFormat/>
    <w:rPr>
      <w:rFonts w:cs="OpenSymbol"/>
      <w:u w:val="none"/>
    </w:rPr>
  </w:style>
  <w:style w:type="character" w:customStyle="1" w:styleId="ListLabel69">
    <w:name w:val="ListLabel 69"/>
    <w:qFormat/>
    <w:rPr>
      <w:rFonts w:cs="OpenSymbol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OpenSymbol"/>
      <w:u w:val="none"/>
    </w:rPr>
  </w:style>
  <w:style w:type="character" w:customStyle="1" w:styleId="ListLabel72">
    <w:name w:val="ListLabel 72"/>
    <w:qFormat/>
    <w:rPr>
      <w:rFonts w:cs="OpenSymbol"/>
      <w:u w:val="none"/>
    </w:rPr>
  </w:style>
  <w:style w:type="character" w:customStyle="1" w:styleId="ListLabel73">
    <w:name w:val="ListLabel 73"/>
    <w:qFormat/>
    <w:rPr>
      <w:rFonts w:cs="Arial"/>
      <w:b w:val="0"/>
    </w:rPr>
  </w:style>
  <w:style w:type="character" w:customStyle="1" w:styleId="ListLabel74">
    <w:name w:val="ListLabel 74"/>
    <w:qFormat/>
    <w:rPr>
      <w:rFonts w:cs="Arial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Arial"/>
    </w:rPr>
  </w:style>
  <w:style w:type="character" w:customStyle="1" w:styleId="ListLabel77">
    <w:name w:val="ListLabel 77"/>
    <w:qFormat/>
    <w:rPr>
      <w:rFonts w:cs="Arial"/>
    </w:rPr>
  </w:style>
  <w:style w:type="character" w:customStyle="1" w:styleId="ListLabel78">
    <w:name w:val="ListLabel 78"/>
    <w:qFormat/>
    <w:rPr>
      <w:rFonts w:cs="Arial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Arial"/>
    </w:rPr>
  </w:style>
  <w:style w:type="character" w:customStyle="1" w:styleId="ListLabel81">
    <w:name w:val="ListLabel 81"/>
    <w:qFormat/>
    <w:rPr>
      <w:rFonts w:cs="Arial"/>
    </w:rPr>
  </w:style>
  <w:style w:type="character" w:customStyle="1" w:styleId="ListLabel82">
    <w:name w:val="ListLabel 82"/>
    <w:qFormat/>
    <w:rPr>
      <w:rFonts w:cs="OpenSymbol"/>
      <w:u w:val="none"/>
    </w:rPr>
  </w:style>
  <w:style w:type="character" w:customStyle="1" w:styleId="ListLabel83">
    <w:name w:val="ListLabel 83"/>
    <w:qFormat/>
    <w:rPr>
      <w:rFonts w:cs="OpenSymbol"/>
      <w:u w:val="none"/>
    </w:rPr>
  </w:style>
  <w:style w:type="character" w:customStyle="1" w:styleId="ListLabel84">
    <w:name w:val="ListLabel 84"/>
    <w:qFormat/>
    <w:rPr>
      <w:rFonts w:cs="OpenSymbol"/>
      <w:u w:val="none"/>
    </w:rPr>
  </w:style>
  <w:style w:type="character" w:customStyle="1" w:styleId="ListLabel85">
    <w:name w:val="ListLabel 85"/>
    <w:qFormat/>
    <w:rPr>
      <w:rFonts w:cs="OpenSymbol"/>
      <w:u w:val="none"/>
    </w:rPr>
  </w:style>
  <w:style w:type="character" w:customStyle="1" w:styleId="ListLabel86">
    <w:name w:val="ListLabel 86"/>
    <w:qFormat/>
    <w:rPr>
      <w:rFonts w:cs="OpenSymbol"/>
      <w:u w:val="none"/>
    </w:rPr>
  </w:style>
  <w:style w:type="character" w:customStyle="1" w:styleId="ListLabel87">
    <w:name w:val="ListLabel 87"/>
    <w:qFormat/>
    <w:rPr>
      <w:rFonts w:cs="OpenSymbol"/>
      <w:u w:val="none"/>
    </w:rPr>
  </w:style>
  <w:style w:type="character" w:customStyle="1" w:styleId="ListLabel88">
    <w:name w:val="ListLabel 88"/>
    <w:qFormat/>
    <w:rPr>
      <w:rFonts w:cs="OpenSymbol"/>
      <w:u w:val="none"/>
    </w:rPr>
  </w:style>
  <w:style w:type="character" w:customStyle="1" w:styleId="ListLabel89">
    <w:name w:val="ListLabel 89"/>
    <w:qFormat/>
    <w:rPr>
      <w:rFonts w:cs="OpenSymbol"/>
      <w:u w:val="none"/>
    </w:rPr>
  </w:style>
  <w:style w:type="character" w:customStyle="1" w:styleId="ListLabel90">
    <w:name w:val="ListLabel 90"/>
    <w:qFormat/>
    <w:rPr>
      <w:rFonts w:cs="OpenSymbol"/>
      <w:u w:val="none"/>
    </w:rPr>
  </w:style>
  <w:style w:type="character" w:customStyle="1" w:styleId="ListLabel91">
    <w:name w:val="ListLabel 91"/>
    <w:qFormat/>
    <w:rPr>
      <w:rFonts w:cs="Arial"/>
      <w:b w:val="0"/>
    </w:rPr>
  </w:style>
  <w:style w:type="character" w:customStyle="1" w:styleId="ListLabel92">
    <w:name w:val="ListLabel 92"/>
    <w:qFormat/>
    <w:rPr>
      <w:rFonts w:cs="Arial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OpenSymbol"/>
      <w:u w:val="none"/>
    </w:rPr>
  </w:style>
  <w:style w:type="character" w:customStyle="1" w:styleId="ListLabel101">
    <w:name w:val="ListLabel 101"/>
    <w:qFormat/>
    <w:rPr>
      <w:rFonts w:cs="OpenSymbol"/>
      <w:u w:val="none"/>
    </w:rPr>
  </w:style>
  <w:style w:type="character" w:customStyle="1" w:styleId="ListLabel102">
    <w:name w:val="ListLabel 102"/>
    <w:qFormat/>
    <w:rPr>
      <w:rFonts w:cs="OpenSymbol"/>
      <w:u w:val="none"/>
    </w:rPr>
  </w:style>
  <w:style w:type="character" w:customStyle="1" w:styleId="ListLabel103">
    <w:name w:val="ListLabel 103"/>
    <w:qFormat/>
    <w:rPr>
      <w:rFonts w:cs="OpenSymbol"/>
      <w:u w:val="none"/>
    </w:rPr>
  </w:style>
  <w:style w:type="character" w:customStyle="1" w:styleId="ListLabel104">
    <w:name w:val="ListLabel 104"/>
    <w:qFormat/>
    <w:rPr>
      <w:rFonts w:cs="OpenSymbol"/>
      <w:u w:val="none"/>
    </w:rPr>
  </w:style>
  <w:style w:type="character" w:customStyle="1" w:styleId="ListLabel105">
    <w:name w:val="ListLabel 105"/>
    <w:qFormat/>
    <w:rPr>
      <w:rFonts w:cs="OpenSymbol"/>
      <w:u w:val="none"/>
    </w:rPr>
  </w:style>
  <w:style w:type="character" w:customStyle="1" w:styleId="ListLabel106">
    <w:name w:val="ListLabel 106"/>
    <w:qFormat/>
    <w:rPr>
      <w:rFonts w:cs="OpenSymbol"/>
      <w:u w:val="none"/>
    </w:rPr>
  </w:style>
  <w:style w:type="character" w:customStyle="1" w:styleId="ListLabel107">
    <w:name w:val="ListLabel 107"/>
    <w:qFormat/>
    <w:rPr>
      <w:rFonts w:cs="OpenSymbol"/>
      <w:u w:val="none"/>
    </w:rPr>
  </w:style>
  <w:style w:type="character" w:customStyle="1" w:styleId="ListLabel108">
    <w:name w:val="ListLabel 108"/>
    <w:qFormat/>
    <w:rPr>
      <w:rFonts w:cs="OpenSymbol"/>
      <w:u w:val="none"/>
    </w:rPr>
  </w:style>
  <w:style w:type="character" w:customStyle="1" w:styleId="ListLabel109">
    <w:name w:val="ListLabel 109"/>
    <w:qFormat/>
    <w:rPr>
      <w:rFonts w:cs="Arial"/>
      <w:b w:val="0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Arial"/>
    </w:rPr>
  </w:style>
  <w:style w:type="character" w:customStyle="1" w:styleId="ListLabel117">
    <w:name w:val="ListLabel 117"/>
    <w:qFormat/>
    <w:rPr>
      <w:rFonts w:cs="Arial"/>
    </w:rPr>
  </w:style>
  <w:style w:type="character" w:customStyle="1" w:styleId="ListLabel118">
    <w:name w:val="ListLabel 118"/>
    <w:qFormat/>
    <w:rPr>
      <w:rFonts w:cs="OpenSymbol"/>
      <w:u w:val="none"/>
    </w:rPr>
  </w:style>
  <w:style w:type="character" w:customStyle="1" w:styleId="ListLabel119">
    <w:name w:val="ListLabel 119"/>
    <w:qFormat/>
    <w:rPr>
      <w:rFonts w:cs="OpenSymbol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OpenSymbol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OpenSymbol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ottotitolo">
    <w:name w:val="Subtitle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TableParagraph">
    <w:name w:val="Table Paragraph"/>
    <w:basedOn w:val="Normale"/>
    <w:uiPriority w:val="1"/>
    <w:qFormat/>
    <w:rsid w:val="00C24F1B"/>
    <w:pPr>
      <w:spacing w:after="0" w:line="240" w:lineRule="auto"/>
      <w:ind w:left="122"/>
    </w:pPr>
    <w:rPr>
      <w:rFonts w:ascii="Arial" w:eastAsia="Arial" w:hAnsi="Arial" w:cs="Arial"/>
      <w:lang w:eastAsia="en-US" w:bidi="ar-SA"/>
    </w:rPr>
  </w:style>
  <w:style w:type="paragraph" w:styleId="Paragrafoelenco">
    <w:name w:val="List Paragraph"/>
    <w:basedOn w:val="Normale"/>
    <w:uiPriority w:val="34"/>
    <w:qFormat/>
    <w:rsid w:val="00BF13DF"/>
    <w:pPr>
      <w:ind w:left="720"/>
      <w:contextualSpacing/>
    </w:pPr>
    <w:rPr>
      <w:rFonts w:cs="Mangal"/>
      <w:szCs w:val="20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B083F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83F"/>
    <w:rPr>
      <w:rFonts w:cs="Mangal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2127-7103-4B10-A849-A1AD8F63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Vicepreside</cp:lastModifiedBy>
  <cp:revision>38</cp:revision>
  <dcterms:created xsi:type="dcterms:W3CDTF">2023-02-14T09:21:00Z</dcterms:created>
  <dcterms:modified xsi:type="dcterms:W3CDTF">2024-03-09T09:44:00Z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